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F0EE84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420974">
        <w:rPr>
          <w:bCs/>
          <w:noProof w:val="0"/>
          <w:sz w:val="24"/>
          <w:szCs w:val="24"/>
        </w:rPr>
        <w:t>-</w:t>
      </w:r>
      <w:r w:rsidR="00A221FE">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420974">
        <w:rPr>
          <w:bCs/>
          <w:noProof w:val="0"/>
          <w:sz w:val="24"/>
          <w:szCs w:val="24"/>
        </w:rPr>
        <w:t>00853</w:t>
      </w:r>
    </w:p>
    <w:p w14:paraId="11776FA6" w14:textId="38B54FD3" w:rsidR="00A209D6" w:rsidRPr="00465587" w:rsidRDefault="00BA31E5" w:rsidP="03BF0422">
      <w:pPr>
        <w:pStyle w:val="Header"/>
        <w:tabs>
          <w:tab w:val="right" w:pos="9639"/>
        </w:tabs>
        <w:rPr>
          <w:rFonts w:eastAsia="SimSun"/>
          <w:sz w:val="24"/>
          <w:szCs w:val="24"/>
          <w:lang w:eastAsia="zh-CN"/>
        </w:rPr>
      </w:pPr>
      <w:r>
        <w:rPr>
          <w:rFonts w:eastAsia="SimSun"/>
          <w:sz w:val="24"/>
          <w:szCs w:val="24"/>
          <w:lang w:eastAsia="zh-CN"/>
        </w:rPr>
        <w:t>Online</w:t>
      </w:r>
      <w:r w:rsidR="006574C0" w:rsidRPr="03BF0422">
        <w:rPr>
          <w:rFonts w:eastAsia="SimSun"/>
          <w:sz w:val="24"/>
          <w:szCs w:val="24"/>
          <w:lang w:eastAsia="zh-CN"/>
        </w:rPr>
        <w:t xml:space="preserve">, </w:t>
      </w:r>
      <w:r w:rsidR="008E7A21" w:rsidRPr="03BF0422">
        <w:rPr>
          <w:rFonts w:eastAsia="SimSun"/>
          <w:sz w:val="24"/>
          <w:szCs w:val="24"/>
          <w:lang w:eastAsia="zh-CN"/>
        </w:rPr>
        <w:t>24</w:t>
      </w:r>
      <w:r w:rsidR="008E7A21">
        <w:rPr>
          <w:rFonts w:eastAsia="SimSun"/>
          <w:sz w:val="24"/>
          <w:szCs w:val="24"/>
          <w:lang w:eastAsia="zh-CN"/>
        </w:rPr>
        <w:t xml:space="preserve"> February</w:t>
      </w:r>
      <w:r w:rsidR="008E7A21" w:rsidRPr="03BF0422">
        <w:rPr>
          <w:rFonts w:eastAsia="SimSun"/>
          <w:sz w:val="24"/>
          <w:szCs w:val="24"/>
          <w:lang w:eastAsia="zh-CN"/>
        </w:rPr>
        <w:t xml:space="preserve"> – </w:t>
      </w:r>
      <w:r w:rsidR="008E7A21">
        <w:rPr>
          <w:rFonts w:eastAsia="SimSun"/>
          <w:sz w:val="24"/>
          <w:szCs w:val="24"/>
          <w:lang w:eastAsia="zh-CN"/>
        </w:rPr>
        <w:t>6 March</w:t>
      </w:r>
      <w:r w:rsidR="008E7A21" w:rsidRPr="03BF0422">
        <w:rPr>
          <w:rFonts w:eastAsia="SimSun"/>
          <w:sz w:val="24"/>
          <w:szCs w:val="24"/>
          <w:lang w:eastAsia="zh-CN"/>
        </w:rPr>
        <w:t xml:space="preserve"> 2020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6495F4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A206E">
        <w:rPr>
          <w:rFonts w:cs="Arial"/>
          <w:b/>
          <w:bCs/>
          <w:sz w:val="24"/>
        </w:rPr>
        <w:t>6.13.2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bookmarkStart w:id="0" w:name="_GoBack"/>
      <w:bookmarkEnd w:id="0"/>
    </w:p>
    <w:p w14:paraId="0FA3EF00" w14:textId="61F0535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21FE" w:rsidRPr="00A221FE">
        <w:rPr>
          <w:rFonts w:ascii="Arial" w:hAnsi="Arial" w:cs="Arial"/>
          <w:b/>
          <w:bCs/>
          <w:sz w:val="24"/>
        </w:rPr>
        <w:t xml:space="preserve">Need for </w:t>
      </w:r>
      <w:proofErr w:type="spellStart"/>
      <w:r w:rsidR="00A221FE" w:rsidRPr="00A221FE">
        <w:rPr>
          <w:rFonts w:ascii="Arial" w:hAnsi="Arial" w:cs="Arial"/>
          <w:b/>
          <w:bCs/>
          <w:i/>
          <w:iCs/>
          <w:sz w:val="24"/>
        </w:rPr>
        <w:t>ra-MsgASizeGroupA</w:t>
      </w:r>
      <w:proofErr w:type="spellEnd"/>
      <w:r w:rsidR="00A221FE" w:rsidRPr="00A221FE">
        <w:rPr>
          <w:rFonts w:ascii="Arial" w:hAnsi="Arial" w:cs="Arial"/>
          <w:b/>
          <w:bCs/>
          <w:sz w:val="24"/>
        </w:rPr>
        <w:t xml:space="preserve"> parameter</w:t>
      </w:r>
    </w:p>
    <w:p w14:paraId="1F147C23" w14:textId="7ACA071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21FE" w:rsidRPr="00A221FE">
        <w:rPr>
          <w:rFonts w:ascii="Arial" w:hAnsi="Arial" w:cs="Arial"/>
          <w:b/>
          <w:bCs/>
          <w:sz w:val="24"/>
        </w:rPr>
        <w:t xml:space="preserve">NR_2step_RACH-Core </w:t>
      </w:r>
      <w:r>
        <w:rPr>
          <w:rFonts w:ascii="Arial" w:hAnsi="Arial" w:cs="Arial"/>
          <w:b/>
          <w:bCs/>
          <w:sz w:val="24"/>
        </w:rPr>
        <w:t xml:space="preserve">- Release </w:t>
      </w:r>
      <w:r w:rsidR="00A221F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F199473" w14:textId="59947832" w:rsidR="003E1E6D" w:rsidRDefault="003E1E6D" w:rsidP="00A209D6">
      <w:r>
        <w:t>In RAN2#107Bis meeting, the following was agreed:</w:t>
      </w:r>
    </w:p>
    <w:p w14:paraId="33E95CBA" w14:textId="77777777" w:rsidR="003E1E6D" w:rsidRPr="003E1E6D" w:rsidRDefault="003E1E6D" w:rsidP="003E1E6D">
      <w:pPr>
        <w:pStyle w:val="Doc-text2"/>
        <w:pBdr>
          <w:top w:val="single" w:sz="4" w:space="1" w:color="auto"/>
          <w:left w:val="single" w:sz="4" w:space="4" w:color="auto"/>
          <w:bottom w:val="single" w:sz="4" w:space="1" w:color="auto"/>
          <w:right w:val="single" w:sz="4" w:space="4" w:color="auto"/>
        </w:pBdr>
        <w:ind w:left="931"/>
        <w:rPr>
          <w:b/>
          <w:i/>
          <w:iCs/>
        </w:rPr>
      </w:pPr>
      <w:r w:rsidRPr="003E1E6D">
        <w:rPr>
          <w:b/>
          <w:i/>
          <w:iCs/>
        </w:rPr>
        <w:t>Agreements:</w:t>
      </w:r>
    </w:p>
    <w:p w14:paraId="1A9714ED" w14:textId="77777777" w:rsidR="003E1E6D" w:rsidRPr="003E1E6D" w:rsidRDefault="003E1E6D" w:rsidP="003E1E6D">
      <w:pPr>
        <w:pStyle w:val="Doc-text2"/>
        <w:numPr>
          <w:ilvl w:val="0"/>
          <w:numId w:val="8"/>
        </w:numPr>
        <w:pBdr>
          <w:top w:val="single" w:sz="4" w:space="1" w:color="auto"/>
          <w:left w:val="single" w:sz="4" w:space="4" w:color="auto"/>
          <w:bottom w:val="single" w:sz="4" w:space="1" w:color="auto"/>
          <w:right w:val="single" w:sz="4" w:space="4" w:color="auto"/>
        </w:pBdr>
        <w:ind w:left="928"/>
        <w:rPr>
          <w:i/>
          <w:iCs/>
        </w:rPr>
      </w:pPr>
      <w:r w:rsidRPr="003E1E6D">
        <w:rPr>
          <w:i/>
          <w:iCs/>
        </w:rPr>
        <w:t>Introduce preambles group A and B for 2-step RACH.</w:t>
      </w:r>
    </w:p>
    <w:p w14:paraId="310A9B45" w14:textId="77777777" w:rsidR="003E1E6D" w:rsidRPr="003E1E6D" w:rsidRDefault="003E1E6D" w:rsidP="003E1E6D">
      <w:pPr>
        <w:pStyle w:val="Doc-text2"/>
        <w:numPr>
          <w:ilvl w:val="0"/>
          <w:numId w:val="8"/>
        </w:numPr>
        <w:pBdr>
          <w:top w:val="single" w:sz="4" w:space="1" w:color="auto"/>
          <w:left w:val="single" w:sz="4" w:space="4" w:color="auto"/>
          <w:bottom w:val="single" w:sz="4" w:space="1" w:color="auto"/>
          <w:right w:val="single" w:sz="4" w:space="4" w:color="auto"/>
        </w:pBdr>
        <w:ind w:left="928"/>
        <w:rPr>
          <w:i/>
          <w:iCs/>
        </w:rPr>
      </w:pPr>
      <w:r w:rsidRPr="003E1E6D">
        <w:rPr>
          <w:i/>
          <w:iCs/>
        </w:rPr>
        <w:t xml:space="preserve">Apply the same selection formulas to select between 2-step preambles group A and B as specified for 4-step in Rel-15. For the purpose of data threshold, </w:t>
      </w:r>
      <w:proofErr w:type="spellStart"/>
      <w:r w:rsidRPr="003E1E6D">
        <w:rPr>
          <w:i/>
          <w:iCs/>
        </w:rPr>
        <w:t>ra-MsgASizeGroupA</w:t>
      </w:r>
      <w:proofErr w:type="spellEnd"/>
      <w:r w:rsidRPr="003E1E6D">
        <w:rPr>
          <w:i/>
          <w:iCs/>
        </w:rPr>
        <w:t xml:space="preserve"> parameter can be introduced.  </w:t>
      </w:r>
    </w:p>
    <w:p w14:paraId="673D4F09" w14:textId="77777777" w:rsidR="00BA31E5" w:rsidRDefault="00BA31E5" w:rsidP="00A209D6"/>
    <w:p w14:paraId="31EC6E66" w14:textId="6FAD7B9D" w:rsidR="007F2E08" w:rsidRDefault="003E1E6D" w:rsidP="00A209D6">
      <w:r>
        <w:t xml:space="preserve">In the discussions on the running MAC CR (TS 38.321) after RAN2#108, some companies have questioned the need for parameter </w:t>
      </w:r>
      <w:proofErr w:type="spellStart"/>
      <w:r w:rsidRPr="003E1E6D">
        <w:rPr>
          <w:i/>
          <w:iCs/>
        </w:rPr>
        <w:t>ra-MsgASizeGroupA</w:t>
      </w:r>
      <w:proofErr w:type="spellEnd"/>
      <w:r>
        <w:t xml:space="preserve">. </w:t>
      </w:r>
    </w:p>
    <w:p w14:paraId="32B18C24" w14:textId="36AD961E" w:rsidR="00BA31E5" w:rsidRDefault="00BA31E5" w:rsidP="00A209D6">
      <w:r>
        <w:t>Furthermore, the email discussion had the following proposal:</w:t>
      </w:r>
    </w:p>
    <w:tbl>
      <w:tblPr>
        <w:tblStyle w:val="TableGrid"/>
        <w:tblW w:w="0" w:type="auto"/>
        <w:tblLook w:val="04A0" w:firstRow="1" w:lastRow="0" w:firstColumn="1" w:lastColumn="0" w:noHBand="0" w:noVBand="1"/>
      </w:tblPr>
      <w:tblGrid>
        <w:gridCol w:w="9631"/>
      </w:tblGrid>
      <w:tr w:rsidR="00BA31E5" w14:paraId="0C9084E4" w14:textId="77777777" w:rsidTr="009D3968">
        <w:tc>
          <w:tcPr>
            <w:tcW w:w="9631" w:type="dxa"/>
            <w:shd w:val="clear" w:color="auto" w:fill="F2F2F2" w:themeFill="background1" w:themeFillShade="F2"/>
          </w:tcPr>
          <w:p w14:paraId="7C0CFFD9" w14:textId="6C70127C" w:rsidR="00BA31E5" w:rsidRPr="009D3968" w:rsidRDefault="00BA31E5" w:rsidP="00BA31E5">
            <w:pPr>
              <w:snapToGrid w:val="0"/>
              <w:rPr>
                <w:rFonts w:cs="Arial"/>
                <w:b/>
                <w:bCs/>
                <w:i/>
                <w:iCs/>
                <w:snapToGrid w:val="0"/>
                <w:lang w:eastAsia="ko-KR"/>
              </w:rPr>
            </w:pPr>
            <w:r w:rsidRPr="009D3968">
              <w:rPr>
                <w:rFonts w:cs="Arial"/>
                <w:b/>
                <w:bCs/>
                <w:i/>
                <w:iCs/>
                <w:snapToGrid w:val="0"/>
              </w:rPr>
              <w:t xml:space="preserve">Proposal 4: </w:t>
            </w:r>
          </w:p>
          <w:p w14:paraId="7B2BBA41" w14:textId="2D8BEF82" w:rsidR="00BA31E5" w:rsidRPr="009D3968" w:rsidRDefault="00BA31E5" w:rsidP="00BA31E5">
            <w:pPr>
              <w:snapToGrid w:val="0"/>
              <w:rPr>
                <w:rFonts w:cs="Arial"/>
                <w:b/>
                <w:bCs/>
                <w:i/>
                <w:iCs/>
                <w:snapToGrid w:val="0"/>
              </w:rPr>
            </w:pPr>
            <w:r w:rsidRPr="009D3968">
              <w:rPr>
                <w:rFonts w:cs="Arial"/>
                <w:b/>
                <w:bCs/>
                <w:i/>
                <w:iCs/>
                <w:snapToGrid w:val="0"/>
                <w:u w:val="single"/>
              </w:rPr>
              <w:t>Option 1:</w:t>
            </w:r>
            <w:r w:rsidRPr="009D3968">
              <w:rPr>
                <w:rFonts w:cs="Arial"/>
                <w:b/>
                <w:bCs/>
                <w:i/>
                <w:iCs/>
                <w:snapToGrid w:val="0"/>
              </w:rPr>
              <w:t xml:space="preserve"> </w:t>
            </w:r>
            <w:proofErr w:type="spellStart"/>
            <w:r w:rsidRPr="009D3968">
              <w:rPr>
                <w:rFonts w:cs="Arial"/>
                <w:b/>
                <w:bCs/>
                <w:i/>
                <w:iCs/>
                <w:snapToGrid w:val="0"/>
              </w:rPr>
              <w:t>ra-MsgASizeGroupA</w:t>
            </w:r>
            <w:proofErr w:type="spellEnd"/>
            <w:r w:rsidRPr="009D3968">
              <w:rPr>
                <w:rFonts w:cs="Arial"/>
                <w:b/>
                <w:bCs/>
                <w:i/>
                <w:iCs/>
                <w:snapToGrid w:val="0"/>
              </w:rPr>
              <w:t xml:space="preserve"> is same as the payload size of MSGA PUSCH associated with preamble group A </w:t>
            </w:r>
          </w:p>
          <w:p w14:paraId="1734EA77" w14:textId="4F4BE48E" w:rsidR="00BA31E5" w:rsidRPr="009D3968" w:rsidRDefault="00BA31E5" w:rsidP="00BA31E5">
            <w:pPr>
              <w:snapToGrid w:val="0"/>
              <w:rPr>
                <w:rFonts w:cs="Arial"/>
                <w:i/>
                <w:iCs/>
                <w:snapToGrid w:val="0"/>
              </w:rPr>
            </w:pPr>
            <w:r w:rsidRPr="009D3968">
              <w:rPr>
                <w:rFonts w:cs="Arial"/>
                <w:i/>
                <w:iCs/>
                <w:snapToGrid w:val="0"/>
              </w:rPr>
              <w:t xml:space="preserve">Note: if this is agreed, then a note should be added in the RRC CR to capture this restriction (and MAC CR can be kept as it is then – i.e. we can use the </w:t>
            </w:r>
            <w:proofErr w:type="spellStart"/>
            <w:r w:rsidRPr="009D3968">
              <w:rPr>
                <w:rFonts w:cs="Arial"/>
                <w:i/>
                <w:iCs/>
                <w:snapToGrid w:val="0"/>
              </w:rPr>
              <w:t>ra-MsgASizeGroupA</w:t>
            </w:r>
            <w:proofErr w:type="spellEnd"/>
            <w:r w:rsidRPr="009D3968">
              <w:rPr>
                <w:rFonts w:cs="Arial"/>
                <w:i/>
                <w:iCs/>
                <w:snapToGrid w:val="0"/>
              </w:rPr>
              <w:t xml:space="preserve"> in MAC)</w:t>
            </w:r>
          </w:p>
          <w:p w14:paraId="5D94A9BA" w14:textId="4B567824" w:rsidR="00BA31E5" w:rsidRPr="009D3968" w:rsidRDefault="00BA31E5" w:rsidP="00BA31E5">
            <w:pPr>
              <w:snapToGrid w:val="0"/>
              <w:rPr>
                <w:rFonts w:cs="Arial"/>
                <w:b/>
                <w:bCs/>
                <w:i/>
                <w:iCs/>
                <w:snapToGrid w:val="0"/>
              </w:rPr>
            </w:pPr>
            <w:r w:rsidRPr="009D3968">
              <w:rPr>
                <w:rFonts w:cs="Arial"/>
                <w:b/>
                <w:bCs/>
                <w:i/>
                <w:iCs/>
                <w:snapToGrid w:val="0"/>
                <w:u w:val="single"/>
              </w:rPr>
              <w:t>Option 2:</w:t>
            </w:r>
            <w:r w:rsidRPr="009D3968">
              <w:rPr>
                <w:rFonts w:cs="Arial"/>
                <w:b/>
                <w:bCs/>
                <w:i/>
                <w:iCs/>
                <w:snapToGrid w:val="0"/>
              </w:rPr>
              <w:t xml:space="preserve"> There is no relation between </w:t>
            </w:r>
            <w:proofErr w:type="spellStart"/>
            <w:r w:rsidRPr="009D3968">
              <w:rPr>
                <w:rFonts w:cs="Arial"/>
                <w:b/>
                <w:bCs/>
                <w:i/>
                <w:iCs/>
                <w:snapToGrid w:val="0"/>
              </w:rPr>
              <w:t>ra-MsgASizeGroupA</w:t>
            </w:r>
            <w:proofErr w:type="spellEnd"/>
            <w:r w:rsidRPr="009D3968">
              <w:rPr>
                <w:rFonts w:cs="Arial"/>
                <w:b/>
                <w:bCs/>
                <w:i/>
                <w:iCs/>
                <w:snapToGrid w:val="0"/>
              </w:rPr>
              <w:t xml:space="preserve"> and the payload size of MSGA PUSCH associated with preamble group A. </w:t>
            </w:r>
          </w:p>
          <w:p w14:paraId="697A1BFC" w14:textId="5576D857" w:rsidR="00BA31E5" w:rsidRPr="009D3968" w:rsidRDefault="00BA31E5" w:rsidP="009D3968">
            <w:pPr>
              <w:snapToGrid w:val="0"/>
              <w:rPr>
                <w:rFonts w:cs="Arial"/>
                <w:snapToGrid w:val="0"/>
              </w:rPr>
            </w:pPr>
            <w:r w:rsidRPr="009D3968">
              <w:rPr>
                <w:rFonts w:cs="Arial"/>
                <w:i/>
                <w:iCs/>
                <w:snapToGrid w:val="0"/>
              </w:rPr>
              <w:t>Note: if this is agreed, then it means the network can use this as an additional threshold to direct some UEs that has data above a threshold to use group B (regardless of the TB size of PUSCH payload associated with group A). Then no restriction is needed in RRC to be specified for this.</w:t>
            </w:r>
            <w:r w:rsidRPr="009D3968">
              <w:rPr>
                <w:rFonts w:cs="Arial"/>
                <w:snapToGrid w:val="0"/>
              </w:rPr>
              <w:t xml:space="preserve">  </w:t>
            </w:r>
          </w:p>
        </w:tc>
      </w:tr>
    </w:tbl>
    <w:p w14:paraId="32A017F1" w14:textId="77777777" w:rsidR="00BA31E5" w:rsidRDefault="00BA31E5">
      <w:pPr>
        <w:spacing w:after="0"/>
      </w:pPr>
      <w:r>
        <w:br w:type="page"/>
      </w:r>
    </w:p>
    <w:p w14:paraId="523E653D" w14:textId="33054633" w:rsidR="00BA31E5" w:rsidRPr="003E1E6D" w:rsidRDefault="00BA31E5" w:rsidP="00A209D6">
      <w:r>
        <w:lastRenderedPageBreak/>
        <w:t>This contribution explains why the parameter is needed and why the Option 2 in the above proposal is the correct one.</w:t>
      </w:r>
    </w:p>
    <w:p w14:paraId="2BBFF540" w14:textId="5423973B" w:rsidR="00A209D6" w:rsidRDefault="00A209D6" w:rsidP="00A209D6">
      <w:pPr>
        <w:pStyle w:val="Heading1"/>
      </w:pPr>
      <w:r w:rsidRPr="006E13D1">
        <w:t>2</w:t>
      </w:r>
      <w:r w:rsidR="003E1E6D">
        <w:tab/>
        <w:t>Discussion</w:t>
      </w:r>
    </w:p>
    <w:p w14:paraId="746D82FB" w14:textId="5EF2C27A" w:rsidR="003E1E6D" w:rsidRDefault="003E1E6D" w:rsidP="003E1E6D">
      <w:pPr>
        <w:pStyle w:val="Heading2"/>
      </w:pPr>
      <w:r>
        <w:t>2.1</w:t>
      </w:r>
      <w:r>
        <w:tab/>
        <w:t>Preamble group selection in 4-step CBRA</w:t>
      </w:r>
    </w:p>
    <w:p w14:paraId="221B9F75" w14:textId="6181796D" w:rsidR="003E1E6D" w:rsidRDefault="003E1E6D" w:rsidP="003E1E6D">
      <w:r>
        <w:t>The following is specified in TS 38.321:</w:t>
      </w:r>
    </w:p>
    <w:tbl>
      <w:tblPr>
        <w:tblStyle w:val="TableGrid"/>
        <w:tblW w:w="0" w:type="auto"/>
        <w:tblLook w:val="04A0" w:firstRow="1" w:lastRow="0" w:firstColumn="1" w:lastColumn="0" w:noHBand="0" w:noVBand="1"/>
      </w:tblPr>
      <w:tblGrid>
        <w:gridCol w:w="9631"/>
      </w:tblGrid>
      <w:tr w:rsidR="003E1E6D" w14:paraId="1E516FE4" w14:textId="77777777" w:rsidTr="003E1E6D">
        <w:tc>
          <w:tcPr>
            <w:tcW w:w="9631" w:type="dxa"/>
            <w:shd w:val="clear" w:color="auto" w:fill="F2F2F2" w:themeFill="background1" w:themeFillShade="F2"/>
          </w:tcPr>
          <w:p w14:paraId="1A354361" w14:textId="77777777" w:rsidR="003E1E6D" w:rsidRPr="003E1E6D" w:rsidRDefault="003E1E6D" w:rsidP="003E1E6D">
            <w:pPr>
              <w:ind w:left="851" w:hanging="284"/>
              <w:rPr>
                <w:rFonts w:eastAsia="Malgun Gothic"/>
                <w:lang w:eastAsia="ko-KR"/>
              </w:rPr>
            </w:pPr>
            <w:r w:rsidRPr="003E1E6D">
              <w:rPr>
                <w:rFonts w:eastAsia="Malgun Gothic"/>
                <w:lang w:eastAsia="ko-KR"/>
              </w:rPr>
              <w:t>2&gt;</w:t>
            </w:r>
            <w:r w:rsidRPr="003E1E6D">
              <w:rPr>
                <w:rFonts w:eastAsia="Malgun Gothic"/>
                <w:lang w:eastAsia="ko-KR"/>
              </w:rPr>
              <w:tab/>
              <w:t>if Msg3 has not yet been transmitted:</w:t>
            </w:r>
          </w:p>
          <w:p w14:paraId="0866AC25" w14:textId="77777777" w:rsidR="003E1E6D" w:rsidRPr="003E1E6D" w:rsidRDefault="003E1E6D" w:rsidP="003E1E6D">
            <w:pPr>
              <w:ind w:left="1135" w:hanging="284"/>
              <w:rPr>
                <w:rFonts w:eastAsia="Malgun Gothic"/>
                <w:lang w:eastAsia="ko-KR"/>
              </w:rPr>
            </w:pPr>
            <w:r w:rsidRPr="003E1E6D">
              <w:rPr>
                <w:rFonts w:eastAsia="Malgun Gothic"/>
                <w:lang w:eastAsia="ko-KR"/>
              </w:rPr>
              <w:t>3&gt;</w:t>
            </w:r>
            <w:r w:rsidRPr="003E1E6D">
              <w:rPr>
                <w:rFonts w:eastAsia="Malgun Gothic"/>
                <w:lang w:eastAsia="ko-KR"/>
              </w:rPr>
              <w:tab/>
              <w:t xml:space="preserve">if Random Access Preambles </w:t>
            </w:r>
            <w:proofErr w:type="gramStart"/>
            <w:r w:rsidRPr="003E1E6D">
              <w:rPr>
                <w:rFonts w:eastAsia="Malgun Gothic"/>
                <w:lang w:eastAsia="ko-KR"/>
              </w:rPr>
              <w:t>group</w:t>
            </w:r>
            <w:proofErr w:type="gramEnd"/>
            <w:r w:rsidRPr="003E1E6D">
              <w:rPr>
                <w:rFonts w:eastAsia="Malgun Gothic"/>
                <w:lang w:eastAsia="ko-KR"/>
              </w:rPr>
              <w:t xml:space="preserve"> B is configured:</w:t>
            </w:r>
          </w:p>
          <w:p w14:paraId="65E6C67E" w14:textId="77777777" w:rsidR="003E1E6D" w:rsidRPr="003E1E6D" w:rsidRDefault="003E1E6D" w:rsidP="003E1E6D">
            <w:pPr>
              <w:ind w:left="1418" w:hanging="284"/>
              <w:rPr>
                <w:rFonts w:eastAsia="Malgun Gothic"/>
                <w:lang w:eastAsia="ko-KR"/>
              </w:rPr>
            </w:pPr>
            <w:r w:rsidRPr="003E1E6D">
              <w:rPr>
                <w:rFonts w:eastAsia="Malgun Gothic"/>
                <w:lang w:eastAsia="ko-KR"/>
              </w:rPr>
              <w:t>4&gt;</w:t>
            </w:r>
            <w:r w:rsidRPr="003E1E6D">
              <w:rPr>
                <w:rFonts w:eastAsia="Malgun Gothic"/>
                <w:lang w:eastAsia="ko-KR"/>
              </w:rPr>
              <w:tab/>
            </w:r>
            <w:r w:rsidRPr="003E1E6D">
              <w:rPr>
                <w:rFonts w:eastAsia="Malgun Gothic"/>
                <w:highlight w:val="yellow"/>
                <w:lang w:eastAsia="ko-KR"/>
              </w:rPr>
              <w:t xml:space="preserve">if the potential Msg3 size (UL data available for transmission plus MAC header and, where required, MAC CEs) is greater than </w:t>
            </w:r>
            <w:bookmarkStart w:id="1" w:name="_Hlk32412021"/>
            <w:r w:rsidRPr="003E1E6D">
              <w:rPr>
                <w:rFonts w:eastAsia="Malgun Gothic"/>
                <w:i/>
                <w:highlight w:val="yellow"/>
                <w:lang w:eastAsia="ko-KR"/>
              </w:rPr>
              <w:t>ra-Msg3SizeGroupA</w:t>
            </w:r>
            <w:r w:rsidRPr="003E1E6D">
              <w:rPr>
                <w:rFonts w:eastAsia="Malgun Gothic"/>
                <w:lang w:eastAsia="ko-KR"/>
              </w:rPr>
              <w:t xml:space="preserve"> </w:t>
            </w:r>
            <w:bookmarkEnd w:id="1"/>
            <w:r w:rsidRPr="003E1E6D">
              <w:rPr>
                <w:rFonts w:eastAsia="Malgun Gothic"/>
                <w:lang w:eastAsia="ko-KR"/>
              </w:rPr>
              <w:t xml:space="preserve">and the pathloss is less than </w:t>
            </w:r>
            <w:r w:rsidRPr="003E1E6D">
              <w:rPr>
                <w:rFonts w:eastAsia="Malgun Gothic"/>
                <w:i/>
                <w:lang w:eastAsia="ko-KR"/>
              </w:rPr>
              <w:t>PCMAX</w:t>
            </w:r>
            <w:r w:rsidRPr="003E1E6D">
              <w:rPr>
                <w:rFonts w:eastAsia="Malgun Gothic"/>
                <w:lang w:eastAsia="ko-KR"/>
              </w:rPr>
              <w:t xml:space="preserve"> (of the Serving Cell performing the </w:t>
            </w:r>
            <w:proofErr w:type="gramStart"/>
            <w:r w:rsidRPr="003E1E6D">
              <w:rPr>
                <w:rFonts w:eastAsia="Malgun Gothic"/>
                <w:lang w:eastAsia="ko-KR"/>
              </w:rPr>
              <w:t>Random Access</w:t>
            </w:r>
            <w:proofErr w:type="gramEnd"/>
            <w:r w:rsidRPr="003E1E6D">
              <w:rPr>
                <w:rFonts w:eastAsia="Malgun Gothic"/>
                <w:lang w:eastAsia="ko-KR"/>
              </w:rPr>
              <w:t xml:space="preserve"> Procedure) – </w:t>
            </w:r>
            <w:proofErr w:type="spellStart"/>
            <w:r w:rsidRPr="003E1E6D">
              <w:rPr>
                <w:rFonts w:eastAsia="Malgun Gothic"/>
                <w:i/>
                <w:lang w:eastAsia="ko-KR"/>
              </w:rPr>
              <w:t>preambleReceivedTargetPower</w:t>
            </w:r>
            <w:proofErr w:type="spellEnd"/>
            <w:r w:rsidRPr="003E1E6D">
              <w:rPr>
                <w:rFonts w:eastAsia="Malgun Gothic"/>
              </w:rPr>
              <w:t xml:space="preserve"> </w:t>
            </w:r>
            <w:r w:rsidRPr="003E1E6D">
              <w:rPr>
                <w:rFonts w:eastAsia="Malgun Gothic"/>
                <w:lang w:eastAsia="ko-KR"/>
              </w:rPr>
              <w:t>–</w:t>
            </w:r>
            <w:r w:rsidRPr="003E1E6D">
              <w:rPr>
                <w:rFonts w:eastAsia="Malgun Gothic"/>
              </w:rPr>
              <w:t xml:space="preserve"> </w:t>
            </w:r>
            <w:r w:rsidRPr="003E1E6D">
              <w:rPr>
                <w:rFonts w:eastAsia="Malgun Gothic"/>
                <w:i/>
                <w:lang w:eastAsia="ko-KR"/>
              </w:rPr>
              <w:t>msg3-DeltaPreamble</w:t>
            </w:r>
            <w:r w:rsidRPr="003E1E6D">
              <w:rPr>
                <w:rFonts w:eastAsia="Malgun Gothic"/>
              </w:rPr>
              <w:t xml:space="preserve"> </w:t>
            </w:r>
            <w:r w:rsidRPr="003E1E6D">
              <w:rPr>
                <w:rFonts w:eastAsia="Malgun Gothic"/>
                <w:lang w:eastAsia="ko-KR"/>
              </w:rPr>
              <w:t>–</w:t>
            </w:r>
            <w:r w:rsidRPr="003E1E6D">
              <w:rPr>
                <w:rFonts w:eastAsia="Malgun Gothic"/>
              </w:rPr>
              <w:t xml:space="preserve"> </w:t>
            </w:r>
            <w:proofErr w:type="spellStart"/>
            <w:r w:rsidRPr="003E1E6D">
              <w:rPr>
                <w:rFonts w:eastAsia="Malgun Gothic"/>
                <w:i/>
                <w:lang w:eastAsia="ko-KR"/>
              </w:rPr>
              <w:t>messagePowerOffsetGroupB</w:t>
            </w:r>
            <w:proofErr w:type="spellEnd"/>
            <w:r w:rsidRPr="003E1E6D">
              <w:rPr>
                <w:rFonts w:eastAsia="Malgun Gothic"/>
                <w:lang w:eastAsia="ko-KR"/>
              </w:rPr>
              <w:t>; or</w:t>
            </w:r>
          </w:p>
          <w:p w14:paraId="6159B70F" w14:textId="77777777" w:rsidR="003E1E6D" w:rsidRPr="003E1E6D" w:rsidRDefault="003E1E6D" w:rsidP="003E1E6D">
            <w:pPr>
              <w:ind w:left="1418" w:hanging="284"/>
              <w:rPr>
                <w:rFonts w:eastAsia="Malgun Gothic"/>
                <w:lang w:eastAsia="ko-KR"/>
              </w:rPr>
            </w:pPr>
            <w:r w:rsidRPr="003E1E6D">
              <w:rPr>
                <w:rFonts w:eastAsia="Malgun Gothic"/>
                <w:lang w:eastAsia="ko-KR"/>
              </w:rPr>
              <w:t>4&gt;</w:t>
            </w:r>
            <w:r w:rsidRPr="003E1E6D">
              <w:rPr>
                <w:rFonts w:eastAsia="Malgun Gothic"/>
                <w:lang w:eastAsia="ko-KR"/>
              </w:rPr>
              <w:tab/>
              <w:t xml:space="preserve">if the </w:t>
            </w:r>
            <w:proofErr w:type="gramStart"/>
            <w:r w:rsidRPr="003E1E6D">
              <w:rPr>
                <w:rFonts w:eastAsia="Malgun Gothic"/>
                <w:lang w:eastAsia="ko-KR"/>
              </w:rPr>
              <w:t>Random Access</w:t>
            </w:r>
            <w:proofErr w:type="gramEnd"/>
            <w:r w:rsidRPr="003E1E6D">
              <w:rPr>
                <w:rFonts w:eastAsia="Malgun Gothic"/>
                <w:lang w:eastAsia="ko-KR"/>
              </w:rPr>
              <w:t xml:space="preserve"> procedure was initiated for the CCCH logical channel and the CCCH SDU size plus MAC </w:t>
            </w:r>
            <w:proofErr w:type="spellStart"/>
            <w:r w:rsidRPr="003E1E6D">
              <w:rPr>
                <w:rFonts w:eastAsia="Malgun Gothic"/>
                <w:lang w:eastAsia="ko-KR"/>
              </w:rPr>
              <w:t>subheader</w:t>
            </w:r>
            <w:proofErr w:type="spellEnd"/>
            <w:r w:rsidRPr="003E1E6D">
              <w:rPr>
                <w:rFonts w:eastAsia="Malgun Gothic"/>
                <w:lang w:eastAsia="ko-KR"/>
              </w:rPr>
              <w:t xml:space="preserve"> is greater than </w:t>
            </w:r>
            <w:r w:rsidRPr="003E1E6D">
              <w:rPr>
                <w:rFonts w:eastAsia="Malgun Gothic"/>
                <w:i/>
                <w:lang w:eastAsia="ko-KR"/>
              </w:rPr>
              <w:t>ra-Msg3SizeGroupA</w:t>
            </w:r>
            <w:r w:rsidRPr="003E1E6D">
              <w:rPr>
                <w:rFonts w:eastAsia="Malgun Gothic"/>
                <w:lang w:eastAsia="ko-KR"/>
              </w:rPr>
              <w:t>:</w:t>
            </w:r>
          </w:p>
          <w:p w14:paraId="49D0B688" w14:textId="77777777" w:rsidR="003E1E6D" w:rsidRPr="003E1E6D" w:rsidRDefault="003E1E6D" w:rsidP="003E1E6D">
            <w:pPr>
              <w:ind w:left="1702" w:hanging="284"/>
              <w:rPr>
                <w:rFonts w:eastAsia="Malgun Gothic"/>
                <w:lang w:eastAsia="ko-KR"/>
              </w:rPr>
            </w:pPr>
            <w:r w:rsidRPr="003E1E6D">
              <w:rPr>
                <w:rFonts w:eastAsia="Malgun Gothic"/>
                <w:lang w:eastAsia="ko-KR"/>
              </w:rPr>
              <w:t>5&gt;</w:t>
            </w:r>
            <w:r w:rsidRPr="003E1E6D">
              <w:rPr>
                <w:rFonts w:eastAsia="Malgun Gothic"/>
                <w:lang w:eastAsia="ko-KR"/>
              </w:rPr>
              <w:tab/>
              <w:t xml:space="preserve">select the </w:t>
            </w:r>
            <w:proofErr w:type="gramStart"/>
            <w:r w:rsidRPr="003E1E6D">
              <w:rPr>
                <w:rFonts w:eastAsia="Malgun Gothic"/>
                <w:lang w:eastAsia="ko-KR"/>
              </w:rPr>
              <w:t>Random Access</w:t>
            </w:r>
            <w:proofErr w:type="gramEnd"/>
            <w:r w:rsidRPr="003E1E6D">
              <w:rPr>
                <w:rFonts w:eastAsia="Malgun Gothic"/>
                <w:lang w:eastAsia="ko-KR"/>
              </w:rPr>
              <w:t xml:space="preserve"> Preambles group B.</w:t>
            </w:r>
          </w:p>
          <w:p w14:paraId="66F75173" w14:textId="77777777" w:rsidR="003E1E6D" w:rsidRPr="003E1E6D" w:rsidRDefault="003E1E6D" w:rsidP="003E1E6D">
            <w:pPr>
              <w:ind w:left="1418" w:hanging="284"/>
              <w:rPr>
                <w:rFonts w:eastAsia="Malgun Gothic"/>
                <w:lang w:eastAsia="ko-KR"/>
              </w:rPr>
            </w:pPr>
            <w:r w:rsidRPr="003E1E6D">
              <w:rPr>
                <w:rFonts w:eastAsia="Malgun Gothic"/>
                <w:lang w:eastAsia="ko-KR"/>
              </w:rPr>
              <w:t>4&gt;</w:t>
            </w:r>
            <w:r w:rsidRPr="003E1E6D">
              <w:rPr>
                <w:rFonts w:eastAsia="Malgun Gothic"/>
                <w:lang w:eastAsia="ko-KR"/>
              </w:rPr>
              <w:tab/>
              <w:t>else:</w:t>
            </w:r>
          </w:p>
          <w:p w14:paraId="38FCA502" w14:textId="77777777" w:rsidR="003E1E6D" w:rsidRPr="003E1E6D" w:rsidRDefault="003E1E6D" w:rsidP="003E1E6D">
            <w:pPr>
              <w:ind w:left="1702" w:hanging="284"/>
              <w:rPr>
                <w:rFonts w:eastAsia="Malgun Gothic"/>
                <w:lang w:eastAsia="ko-KR"/>
              </w:rPr>
            </w:pPr>
            <w:r w:rsidRPr="003E1E6D">
              <w:rPr>
                <w:rFonts w:eastAsia="Malgun Gothic"/>
                <w:lang w:eastAsia="ko-KR"/>
              </w:rPr>
              <w:t>5&gt;</w:t>
            </w:r>
            <w:r w:rsidRPr="003E1E6D">
              <w:rPr>
                <w:rFonts w:eastAsia="Malgun Gothic"/>
                <w:lang w:eastAsia="ko-KR"/>
              </w:rPr>
              <w:tab/>
              <w:t xml:space="preserve">select the </w:t>
            </w:r>
            <w:proofErr w:type="gramStart"/>
            <w:r w:rsidRPr="003E1E6D">
              <w:rPr>
                <w:rFonts w:eastAsia="Malgun Gothic"/>
                <w:lang w:eastAsia="ko-KR"/>
              </w:rPr>
              <w:t>Random Access</w:t>
            </w:r>
            <w:proofErr w:type="gramEnd"/>
            <w:r w:rsidRPr="003E1E6D">
              <w:rPr>
                <w:rFonts w:eastAsia="Malgun Gothic"/>
                <w:lang w:eastAsia="ko-KR"/>
              </w:rPr>
              <w:t xml:space="preserve"> Preambles group A.</w:t>
            </w:r>
          </w:p>
          <w:p w14:paraId="4F531DB6" w14:textId="77777777" w:rsidR="003E1E6D" w:rsidRPr="003E1E6D" w:rsidRDefault="003E1E6D" w:rsidP="003E1E6D">
            <w:pPr>
              <w:ind w:left="1135" w:hanging="284"/>
              <w:rPr>
                <w:rFonts w:eastAsia="Malgun Gothic"/>
                <w:lang w:eastAsia="ko-KR"/>
              </w:rPr>
            </w:pPr>
            <w:r w:rsidRPr="003E1E6D">
              <w:rPr>
                <w:rFonts w:eastAsia="Malgun Gothic"/>
                <w:lang w:eastAsia="ko-KR"/>
              </w:rPr>
              <w:t>3&gt;</w:t>
            </w:r>
            <w:r w:rsidRPr="003E1E6D">
              <w:rPr>
                <w:rFonts w:eastAsia="Malgun Gothic"/>
                <w:lang w:eastAsia="ko-KR"/>
              </w:rPr>
              <w:tab/>
              <w:t>else:</w:t>
            </w:r>
          </w:p>
          <w:p w14:paraId="06BD1168" w14:textId="2510B213" w:rsidR="003E1E6D" w:rsidRPr="003E1E6D" w:rsidRDefault="003E1E6D" w:rsidP="003E1E6D">
            <w:pPr>
              <w:ind w:left="1418" w:hanging="284"/>
              <w:rPr>
                <w:rFonts w:eastAsia="Malgun Gothic"/>
                <w:lang w:eastAsia="ko-KR"/>
              </w:rPr>
            </w:pPr>
            <w:r w:rsidRPr="003E1E6D">
              <w:rPr>
                <w:rFonts w:eastAsia="Malgun Gothic"/>
                <w:lang w:eastAsia="ko-KR"/>
              </w:rPr>
              <w:t>4&gt;</w:t>
            </w:r>
            <w:r w:rsidRPr="003E1E6D">
              <w:rPr>
                <w:rFonts w:eastAsia="Malgun Gothic"/>
                <w:lang w:eastAsia="ko-KR"/>
              </w:rPr>
              <w:tab/>
              <w:t xml:space="preserve">select the </w:t>
            </w:r>
            <w:proofErr w:type="gramStart"/>
            <w:r w:rsidRPr="003E1E6D">
              <w:rPr>
                <w:rFonts w:eastAsia="Malgun Gothic"/>
                <w:lang w:eastAsia="ko-KR"/>
              </w:rPr>
              <w:t>Random Access</w:t>
            </w:r>
            <w:proofErr w:type="gramEnd"/>
            <w:r w:rsidRPr="003E1E6D">
              <w:rPr>
                <w:rFonts w:eastAsia="Malgun Gothic"/>
                <w:lang w:eastAsia="ko-KR"/>
              </w:rPr>
              <w:t xml:space="preserve"> Preambles group A.</w:t>
            </w:r>
          </w:p>
        </w:tc>
      </w:tr>
    </w:tbl>
    <w:p w14:paraId="3F1C3B37" w14:textId="77777777" w:rsidR="003E1E6D" w:rsidRPr="003E1E6D" w:rsidRDefault="003E1E6D" w:rsidP="003E1E6D"/>
    <w:p w14:paraId="03181A98" w14:textId="64F1C4A7" w:rsidR="003E1E6D" w:rsidRDefault="003E1E6D" w:rsidP="003E1E6D">
      <w:pPr>
        <w:rPr>
          <w:iCs/>
        </w:rPr>
      </w:pPr>
      <w:r>
        <w:t xml:space="preserve">A CONNECTED mode UE upon selecting the preamble group can check the amount of data it has in its buffer (including MAC CEs) against the network configured threshold parameter </w:t>
      </w:r>
      <w:r w:rsidRPr="003E1E6D">
        <w:rPr>
          <w:i/>
          <w:iCs/>
        </w:rPr>
        <w:t>ra-Msg3SizeGroupA</w:t>
      </w:r>
      <w:r>
        <w:t xml:space="preserve">. The </w:t>
      </w:r>
      <w:bookmarkStart w:id="2" w:name="_Hlk32413359"/>
      <w:r w:rsidRPr="003E1E6D">
        <w:rPr>
          <w:i/>
        </w:rPr>
        <w:t>ra-Msg3SizeGroupA</w:t>
      </w:r>
      <w:r>
        <w:rPr>
          <w:iCs/>
        </w:rPr>
        <w:t xml:space="preserve"> </w:t>
      </w:r>
      <w:bookmarkEnd w:id="2"/>
      <w:r>
        <w:rPr>
          <w:iCs/>
        </w:rPr>
        <w:t>parameter can be configured with values {</w:t>
      </w:r>
      <w:r w:rsidRPr="003E1E6D">
        <w:rPr>
          <w:iCs/>
        </w:rPr>
        <w:t>b56, b144, b208, b256, b282, b480, b640, b800, b1000, b72</w:t>
      </w:r>
      <w:r>
        <w:rPr>
          <w:iCs/>
        </w:rPr>
        <w:t xml:space="preserve">} where the values are </w:t>
      </w:r>
      <w:r w:rsidR="0006793E">
        <w:rPr>
          <w:iCs/>
        </w:rPr>
        <w:t xml:space="preserve">defined </w:t>
      </w:r>
      <w:r>
        <w:rPr>
          <w:iCs/>
        </w:rPr>
        <w:t>in bits.</w:t>
      </w:r>
      <w:r w:rsidR="009C1BEB">
        <w:rPr>
          <w:iCs/>
        </w:rPr>
        <w:t xml:space="preserve"> </w:t>
      </w:r>
      <w:r w:rsidR="0095598A">
        <w:rPr>
          <w:iCs/>
        </w:rPr>
        <w:t xml:space="preserve">Now, if the NW used the high-end values, namely </w:t>
      </w:r>
      <w:r w:rsidR="0095598A" w:rsidRPr="003E1E6D">
        <w:rPr>
          <w:iCs/>
        </w:rPr>
        <w:t>b208, b256, b282, b480, b640, b800, b1000</w:t>
      </w:r>
      <w:r w:rsidR="0095598A">
        <w:rPr>
          <w:iCs/>
        </w:rPr>
        <w:t xml:space="preserve"> for the threshold, it would likely not grant such a big TB for Msg3 transmission but use, e.g., 72 bits grant. The threshold would be merely to allow only the CONNECTED mode UEs with big amount of data to use the preambles group B preambles while all other CONNECTED mode UEs would also use preambles group A.</w:t>
      </w:r>
    </w:p>
    <w:p w14:paraId="2A122897" w14:textId="756D4658" w:rsidR="0095598A" w:rsidRPr="0095598A" w:rsidRDefault="0095598A" w:rsidP="003E1E6D">
      <w:pPr>
        <w:rPr>
          <w:iCs/>
        </w:rPr>
      </w:pPr>
      <w:r>
        <w:rPr>
          <w:b/>
          <w:bCs/>
          <w:iCs/>
        </w:rPr>
        <w:t>Observation 1:</w:t>
      </w:r>
      <w:r>
        <w:rPr>
          <w:iCs/>
        </w:rPr>
        <w:t xml:space="preserve"> </w:t>
      </w:r>
      <w:r w:rsidRPr="0095598A">
        <w:rPr>
          <w:i/>
        </w:rPr>
        <w:t>ra-Msg3SizeGroupA</w:t>
      </w:r>
      <w:r>
        <w:rPr>
          <w:iCs/>
        </w:rPr>
        <w:t xml:space="preserve"> is used by the NW to control CONNECTED mode UEs having at least </w:t>
      </w:r>
      <w:r w:rsidRPr="003E1E6D">
        <w:rPr>
          <w:i/>
        </w:rPr>
        <w:t>ra-Msg3SizeGroupA</w:t>
      </w:r>
      <w:r>
        <w:rPr>
          <w:iCs/>
        </w:rPr>
        <w:t xml:space="preserve"> amount of data to use preamble group B – this has no relation to the actual TB size granted for Msg3 transmission by the NW.</w:t>
      </w:r>
    </w:p>
    <w:p w14:paraId="1770C1EF" w14:textId="6636E99A" w:rsidR="0095598A" w:rsidRDefault="0095598A" w:rsidP="0095598A">
      <w:pPr>
        <w:pStyle w:val="Heading2"/>
      </w:pPr>
      <w:r>
        <w:t>2.2</w:t>
      </w:r>
      <w:r>
        <w:tab/>
        <w:t>Problems with using TB size associated with Preambles group A in 2-step RACH</w:t>
      </w:r>
    </w:p>
    <w:p w14:paraId="781D6692" w14:textId="77777777" w:rsidR="0095598A" w:rsidRDefault="0095598A" w:rsidP="0095598A">
      <w:r>
        <w:t xml:space="preserve">If the TB size associated with preambles group A would be used as the data threshold to select the preambles group B, this would lead to a problem where NW could not control the CONNECTED mode UEs using the preambles group B other than with the pathloss parameter. </w:t>
      </w:r>
    </w:p>
    <w:p w14:paraId="63ACB147" w14:textId="79F27005" w:rsidR="0095598A" w:rsidRDefault="0095598A" w:rsidP="0095598A">
      <w:r>
        <w:t xml:space="preserve">For instance, if the TB size associated with preambles group </w:t>
      </w:r>
      <w:r w:rsidR="00BA31E5">
        <w:t xml:space="preserve">A </w:t>
      </w:r>
      <w:r>
        <w:t>is 56 bits (short I-RNTI used in the cell so both IDLE and INACTIVE UEs will always select preambles group A), every CONNECTED mode UE that would have data/MAC CEs above this threshold would select preambles group B – naturally in case the pathloss condition is also fulfilled. Now, if NW has associated TB size of, for instance, 480 bits for group B preambles</w:t>
      </w:r>
      <w:r w:rsidR="002103CF">
        <w:t xml:space="preserve"> other than</w:t>
      </w:r>
      <w:r w:rsidR="00BA31E5">
        <w:t xml:space="preserve"> the next value above 56 bits (</w:t>
      </w:r>
      <w:proofErr w:type="spellStart"/>
      <w:r w:rsidR="00BA31E5">
        <w:t>ie</w:t>
      </w:r>
      <w:proofErr w:type="spellEnd"/>
      <w:r w:rsidR="00BA31E5">
        <w:t>.,</w:t>
      </w:r>
      <w:r w:rsidR="002103CF">
        <w:t xml:space="preserve"> 72</w:t>
      </w:r>
      <w:r w:rsidR="00BA31E5">
        <w:t xml:space="preserve"> </w:t>
      </w:r>
      <w:r w:rsidR="002103CF">
        <w:t>bits</w:t>
      </w:r>
      <w:r w:rsidR="00BA31E5">
        <w:t>)</w:t>
      </w:r>
      <w:r>
        <w:t>,</w:t>
      </w:r>
      <w:r w:rsidR="002103CF">
        <w:t xml:space="preserve"> </w:t>
      </w:r>
      <w:r>
        <w:t>many of the UEs would end up sending padding in the MSGA TB since they did not have enough data to fill the whole TB size.</w:t>
      </w:r>
    </w:p>
    <w:p w14:paraId="5FF04BBC" w14:textId="470BF0C0" w:rsidR="0095598A" w:rsidRDefault="0095598A" w:rsidP="0095598A">
      <w:pPr>
        <w:rPr>
          <w:iCs/>
        </w:rPr>
      </w:pPr>
      <w:r>
        <w:t xml:space="preserve">On the other hand, if the </w:t>
      </w:r>
      <w:proofErr w:type="spellStart"/>
      <w:r w:rsidRPr="003E1E6D">
        <w:rPr>
          <w:i/>
          <w:iCs/>
        </w:rPr>
        <w:t>ra-MsgASizeGroupA</w:t>
      </w:r>
      <w:proofErr w:type="spellEnd"/>
      <w:r>
        <w:t xml:space="preserve"> parameter was used by the NW in the above scenario and it would have set it to some of the values </w:t>
      </w:r>
      <w:r w:rsidRPr="003E1E6D">
        <w:rPr>
          <w:iCs/>
        </w:rPr>
        <w:t>b480, b640, b800, b1000</w:t>
      </w:r>
      <w:r w:rsidR="008202C8">
        <w:rPr>
          <w:iCs/>
        </w:rPr>
        <w:t xml:space="preserve"> to balance the connected mode UEs using preamble group A and group B</w:t>
      </w:r>
      <w:r>
        <w:rPr>
          <w:iCs/>
        </w:rPr>
        <w:t xml:space="preserve">, the UE </w:t>
      </w:r>
      <w:r w:rsidR="00BA31E5">
        <w:rPr>
          <w:iCs/>
        </w:rPr>
        <w:t xml:space="preserve">that selects group B </w:t>
      </w:r>
      <w:r>
        <w:rPr>
          <w:iCs/>
        </w:rPr>
        <w:t>could fill up the MSGA TB completely and no padding would be transmitted. Furthermore, NW was able to exclude any UE with less than 480 bits from accessing the preambles in group B.</w:t>
      </w:r>
    </w:p>
    <w:p w14:paraId="4E3CB2FA" w14:textId="552ADFB8" w:rsidR="00F33728" w:rsidRDefault="00F4336E" w:rsidP="0095598A">
      <w:pPr>
        <w:rPr>
          <w:iCs/>
        </w:rPr>
      </w:pPr>
      <w:r>
        <w:rPr>
          <w:iCs/>
        </w:rPr>
        <w:lastRenderedPageBreak/>
        <w:t>U</w:t>
      </w:r>
      <w:r w:rsidR="00F33728">
        <w:rPr>
          <w:iCs/>
        </w:rPr>
        <w:t>sing</w:t>
      </w:r>
      <w:r w:rsidR="00BA31E5">
        <w:rPr>
          <w:iCs/>
        </w:rPr>
        <w:t xml:space="preserve"> the MSGA</w:t>
      </w:r>
      <w:r w:rsidR="00F33728">
        <w:rPr>
          <w:iCs/>
        </w:rPr>
        <w:t xml:space="preserve"> TBS </w:t>
      </w:r>
      <w:r>
        <w:rPr>
          <w:iCs/>
        </w:rPr>
        <w:t>associated</w:t>
      </w:r>
      <w:r w:rsidR="00F33728">
        <w:rPr>
          <w:iCs/>
        </w:rPr>
        <w:t xml:space="preserve"> with</w:t>
      </w:r>
      <w:r w:rsidR="00BA31E5">
        <w:rPr>
          <w:iCs/>
        </w:rPr>
        <w:t xml:space="preserve"> the</w:t>
      </w:r>
      <w:r w:rsidR="00F33728">
        <w:rPr>
          <w:iCs/>
        </w:rPr>
        <w:t xml:space="preserve"> preamble</w:t>
      </w:r>
      <w:r w:rsidR="00BA31E5">
        <w:rPr>
          <w:iCs/>
        </w:rPr>
        <w:t>s</w:t>
      </w:r>
      <w:r w:rsidR="00F33728">
        <w:rPr>
          <w:iCs/>
        </w:rPr>
        <w:t xml:space="preserve"> group A and group B </w:t>
      </w:r>
      <w:r>
        <w:rPr>
          <w:iCs/>
        </w:rPr>
        <w:t>to select the preamble group</w:t>
      </w:r>
      <w:r w:rsidR="00BA31E5">
        <w:rPr>
          <w:iCs/>
        </w:rPr>
        <w:t xml:space="preserve"> would</w:t>
      </w:r>
      <w:r>
        <w:rPr>
          <w:iCs/>
        </w:rPr>
        <w:t xml:space="preserve"> </w:t>
      </w:r>
      <w:r w:rsidR="00F33728">
        <w:rPr>
          <w:iCs/>
        </w:rPr>
        <w:t>artificially remove</w:t>
      </w:r>
      <w:r w:rsidR="00BA31E5">
        <w:rPr>
          <w:iCs/>
        </w:rPr>
        <w:t>s</w:t>
      </w:r>
      <w:r w:rsidR="00F33728">
        <w:rPr>
          <w:iCs/>
        </w:rPr>
        <w:t xml:space="preserve"> the functionality </w:t>
      </w:r>
      <w:r w:rsidR="00075FA7">
        <w:rPr>
          <w:iCs/>
        </w:rPr>
        <w:t>we ha</w:t>
      </w:r>
      <w:r w:rsidR="00BA31E5">
        <w:rPr>
          <w:iCs/>
        </w:rPr>
        <w:t xml:space="preserve">d </w:t>
      </w:r>
      <w:r w:rsidR="00EF5D6D">
        <w:rPr>
          <w:iCs/>
        </w:rPr>
        <w:t xml:space="preserve">since LTE Rel-8 </w:t>
      </w:r>
      <w:r w:rsidR="00F33728">
        <w:rPr>
          <w:iCs/>
        </w:rPr>
        <w:t xml:space="preserve">of using the buffer size threshold to control the number of UEs using each </w:t>
      </w:r>
      <w:r w:rsidR="00F3392B">
        <w:rPr>
          <w:iCs/>
        </w:rPr>
        <w:t xml:space="preserve">preamble </w:t>
      </w:r>
      <w:r w:rsidR="00F33728">
        <w:rPr>
          <w:iCs/>
        </w:rPr>
        <w:t>group</w:t>
      </w:r>
      <w:r w:rsidR="00F3392B">
        <w:rPr>
          <w:iCs/>
        </w:rPr>
        <w:t xml:space="preserve"> without any implication of what grant size </w:t>
      </w:r>
      <w:r w:rsidR="006A39C6">
        <w:rPr>
          <w:iCs/>
        </w:rPr>
        <w:t xml:space="preserve">the NW </w:t>
      </w:r>
      <w:r w:rsidR="00F3392B">
        <w:rPr>
          <w:iCs/>
        </w:rPr>
        <w:t>actually needs to give</w:t>
      </w:r>
      <w:r w:rsidR="00BA31E5">
        <w:rPr>
          <w:iCs/>
        </w:rPr>
        <w:t>.</w:t>
      </w:r>
      <w:r w:rsidR="00675B72">
        <w:rPr>
          <w:iCs/>
        </w:rPr>
        <w:t xml:space="preserve"> </w:t>
      </w:r>
      <w:r w:rsidR="00BA31E5">
        <w:rPr>
          <w:iCs/>
        </w:rPr>
        <w:t>T</w:t>
      </w:r>
      <w:r w:rsidR="00675B72">
        <w:rPr>
          <w:iCs/>
        </w:rPr>
        <w:t>hus</w:t>
      </w:r>
      <w:r w:rsidR="00BA31E5">
        <w:rPr>
          <w:iCs/>
        </w:rPr>
        <w:t>, such option seems</w:t>
      </w:r>
      <w:r w:rsidR="00675B72">
        <w:rPr>
          <w:iCs/>
        </w:rPr>
        <w:t xml:space="preserve"> rather unacceptable from NW point of view.</w:t>
      </w:r>
    </w:p>
    <w:p w14:paraId="16ED74A9" w14:textId="09361212" w:rsidR="0095598A" w:rsidRDefault="0095598A" w:rsidP="0095598A">
      <w:pPr>
        <w:rPr>
          <w:iCs/>
        </w:rPr>
      </w:pPr>
      <w:r>
        <w:rPr>
          <w:b/>
          <w:bCs/>
          <w:iCs/>
        </w:rPr>
        <w:t xml:space="preserve">Observation 2: </w:t>
      </w:r>
      <w:r>
        <w:rPr>
          <w:iCs/>
        </w:rPr>
        <w:t>Using the MSGA TB size associated with preambles group A preambles as data threshold to select between preambles group A and B leads to inefficiency issues as well as lack of NW control on CONNECTED mode UEs which can access the preambles group B.</w:t>
      </w:r>
    </w:p>
    <w:p w14:paraId="5FF2457F" w14:textId="4B941E6E" w:rsidR="00A209D6" w:rsidRPr="006E13D1" w:rsidRDefault="0095598A" w:rsidP="00A209D6">
      <w:pPr>
        <w:pStyle w:val="Heading1"/>
      </w:pPr>
      <w:r>
        <w:t>3</w:t>
      </w:r>
      <w:r w:rsidR="00A209D6" w:rsidRPr="006E13D1">
        <w:tab/>
      </w:r>
      <w:r w:rsidR="008C3057">
        <w:t>Conclusion</w:t>
      </w:r>
    </w:p>
    <w:p w14:paraId="208CE140" w14:textId="77777777" w:rsidR="0095598A" w:rsidRPr="0095598A" w:rsidRDefault="0095598A" w:rsidP="0095598A">
      <w:pPr>
        <w:rPr>
          <w:iCs/>
        </w:rPr>
      </w:pPr>
      <w:r>
        <w:rPr>
          <w:b/>
          <w:bCs/>
          <w:iCs/>
        </w:rPr>
        <w:t>Observation 1:</w:t>
      </w:r>
      <w:r>
        <w:rPr>
          <w:iCs/>
        </w:rPr>
        <w:t xml:space="preserve"> </w:t>
      </w:r>
      <w:r w:rsidRPr="0095598A">
        <w:rPr>
          <w:i/>
        </w:rPr>
        <w:t>ra-Msg3SizeGroupA</w:t>
      </w:r>
      <w:r>
        <w:rPr>
          <w:iCs/>
        </w:rPr>
        <w:t xml:space="preserve"> is used by the NW to control CONNECTED mode UEs having at least </w:t>
      </w:r>
      <w:r w:rsidRPr="003E1E6D">
        <w:rPr>
          <w:i/>
        </w:rPr>
        <w:t>ra-Msg3SizeGroupA</w:t>
      </w:r>
      <w:r>
        <w:rPr>
          <w:iCs/>
        </w:rPr>
        <w:t xml:space="preserve"> amount of data to use preamble group B – this has no relation to the actual TB size granted for Msg3 transmission by the NW.</w:t>
      </w:r>
    </w:p>
    <w:p w14:paraId="57AA1117" w14:textId="77777777" w:rsidR="0095598A" w:rsidRDefault="0095598A" w:rsidP="0095598A">
      <w:pPr>
        <w:rPr>
          <w:iCs/>
        </w:rPr>
      </w:pPr>
      <w:r>
        <w:rPr>
          <w:b/>
          <w:bCs/>
          <w:iCs/>
        </w:rPr>
        <w:t xml:space="preserve">Observation 2: </w:t>
      </w:r>
      <w:r>
        <w:rPr>
          <w:iCs/>
        </w:rPr>
        <w:t>Using the MSGA TB size associated with preambles group A preambles as data threshold to select between preambles group A and B leads to inefficiency issues as well as lack of NW control on CONNECTED mode UEs which can access the preambles group B.</w:t>
      </w:r>
    </w:p>
    <w:p w14:paraId="60449C3F" w14:textId="03091BD1" w:rsidR="00A209D6" w:rsidRDefault="0095598A" w:rsidP="00A209D6">
      <w:r>
        <w:t xml:space="preserve">Since </w:t>
      </w:r>
      <w:r w:rsidR="00FA206E">
        <w:t xml:space="preserve">the approach of using the MSGA TB size associated with preambles group A preambles as data threshold to select between preambles group A and B brings issues as observed above and since there is no issues in applying the agreed parameter </w:t>
      </w:r>
      <w:proofErr w:type="spellStart"/>
      <w:r w:rsidR="00FA206E" w:rsidRPr="003E1E6D">
        <w:rPr>
          <w:i/>
          <w:iCs/>
        </w:rPr>
        <w:t>ra-MsgASizeGroupA</w:t>
      </w:r>
      <w:proofErr w:type="spellEnd"/>
      <w:r w:rsidR="00FA206E">
        <w:t>, the current agreement shall not be reverted.</w:t>
      </w:r>
    </w:p>
    <w:p w14:paraId="0F7CC9D7" w14:textId="7629E481" w:rsidR="00FA206E" w:rsidRPr="00FA206E" w:rsidRDefault="00FA206E" w:rsidP="00A209D6">
      <w:pPr>
        <w:rPr>
          <w:b/>
          <w:bCs/>
        </w:rPr>
      </w:pPr>
      <w:r w:rsidRPr="00FA206E">
        <w:rPr>
          <w:b/>
          <w:bCs/>
        </w:rPr>
        <w:t xml:space="preserve">Proposal: </w:t>
      </w:r>
      <w:proofErr w:type="spellStart"/>
      <w:r w:rsidRPr="00FA206E">
        <w:rPr>
          <w:b/>
          <w:bCs/>
          <w:i/>
          <w:iCs/>
        </w:rPr>
        <w:t>ra-MsgASizeGroupA</w:t>
      </w:r>
      <w:proofErr w:type="spellEnd"/>
      <w:r w:rsidRPr="00FA206E">
        <w:rPr>
          <w:b/>
          <w:bCs/>
        </w:rPr>
        <w:t xml:space="preserve"> parameter is introduced as agreed in RAN2#107-Bis</w:t>
      </w:r>
      <w:r w:rsidR="009D3968">
        <w:rPr>
          <w:b/>
          <w:bCs/>
        </w:rPr>
        <w:t xml:space="preserve"> and no relation between the parameter and the MSGA TB sizes associated with 2-step Preambles group A and B is specified</w:t>
      </w:r>
      <w:r w:rsidRPr="00FA206E">
        <w:rPr>
          <w:b/>
          <w:bCs/>
        </w:rPr>
        <w:t>.</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2D14E" w14:textId="77777777" w:rsidR="00843047" w:rsidRDefault="00843047">
      <w:r>
        <w:separator/>
      </w:r>
    </w:p>
  </w:endnote>
  <w:endnote w:type="continuationSeparator" w:id="0">
    <w:p w14:paraId="4ACBC5B1" w14:textId="77777777" w:rsidR="00843047" w:rsidRDefault="00843047">
      <w:r>
        <w:continuationSeparator/>
      </w:r>
    </w:p>
  </w:endnote>
  <w:endnote w:type="continuationNotice" w:id="1">
    <w:p w14:paraId="76735F38" w14:textId="77777777" w:rsidR="00843047" w:rsidRDefault="00843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48654" w14:textId="77777777" w:rsidR="00843047" w:rsidRDefault="00843047">
      <w:r>
        <w:separator/>
      </w:r>
    </w:p>
  </w:footnote>
  <w:footnote w:type="continuationSeparator" w:id="0">
    <w:p w14:paraId="53AA7F0E" w14:textId="77777777" w:rsidR="00843047" w:rsidRDefault="00843047">
      <w:r>
        <w:continuationSeparator/>
      </w:r>
    </w:p>
  </w:footnote>
  <w:footnote w:type="continuationNotice" w:id="1">
    <w:p w14:paraId="792AF6C4" w14:textId="77777777" w:rsidR="00843047" w:rsidRDefault="00843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793E"/>
    <w:rsid w:val="00073C9C"/>
    <w:rsid w:val="00075FA7"/>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103CF"/>
    <w:rsid w:val="0022606D"/>
    <w:rsid w:val="00231728"/>
    <w:rsid w:val="00250404"/>
    <w:rsid w:val="002610D8"/>
    <w:rsid w:val="002747EC"/>
    <w:rsid w:val="002855BF"/>
    <w:rsid w:val="002F0D22"/>
    <w:rsid w:val="002F66D1"/>
    <w:rsid w:val="00311B17"/>
    <w:rsid w:val="003172DC"/>
    <w:rsid w:val="00325AE3"/>
    <w:rsid w:val="00326069"/>
    <w:rsid w:val="00326A60"/>
    <w:rsid w:val="0035462D"/>
    <w:rsid w:val="00364B41"/>
    <w:rsid w:val="00383096"/>
    <w:rsid w:val="003A41EF"/>
    <w:rsid w:val="003B40AD"/>
    <w:rsid w:val="003C4E37"/>
    <w:rsid w:val="003E16BE"/>
    <w:rsid w:val="003E1E6D"/>
    <w:rsid w:val="003F4E28"/>
    <w:rsid w:val="004006E8"/>
    <w:rsid w:val="00401855"/>
    <w:rsid w:val="00420974"/>
    <w:rsid w:val="004446FD"/>
    <w:rsid w:val="00465587"/>
    <w:rsid w:val="00470362"/>
    <w:rsid w:val="00477455"/>
    <w:rsid w:val="004A1F7B"/>
    <w:rsid w:val="004C44D2"/>
    <w:rsid w:val="004D3578"/>
    <w:rsid w:val="004D380D"/>
    <w:rsid w:val="004E213A"/>
    <w:rsid w:val="004F1B2E"/>
    <w:rsid w:val="00503171"/>
    <w:rsid w:val="00506C28"/>
    <w:rsid w:val="00534DA0"/>
    <w:rsid w:val="00543E6C"/>
    <w:rsid w:val="00565087"/>
    <w:rsid w:val="0056573F"/>
    <w:rsid w:val="00611566"/>
    <w:rsid w:val="00646D99"/>
    <w:rsid w:val="00656910"/>
    <w:rsid w:val="006574C0"/>
    <w:rsid w:val="00675B72"/>
    <w:rsid w:val="006A39C6"/>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7F6C4A"/>
    <w:rsid w:val="008028A4"/>
    <w:rsid w:val="00813245"/>
    <w:rsid w:val="008202C8"/>
    <w:rsid w:val="00840DE0"/>
    <w:rsid w:val="00843047"/>
    <w:rsid w:val="0086354A"/>
    <w:rsid w:val="008768CA"/>
    <w:rsid w:val="00877EF9"/>
    <w:rsid w:val="00880559"/>
    <w:rsid w:val="00882E1C"/>
    <w:rsid w:val="008B5306"/>
    <w:rsid w:val="008C2E2A"/>
    <w:rsid w:val="008C3057"/>
    <w:rsid w:val="008D2E4D"/>
    <w:rsid w:val="008E7A21"/>
    <w:rsid w:val="008F396F"/>
    <w:rsid w:val="008F3DCD"/>
    <w:rsid w:val="0090271F"/>
    <w:rsid w:val="00902DB9"/>
    <w:rsid w:val="0090466A"/>
    <w:rsid w:val="00923655"/>
    <w:rsid w:val="00936071"/>
    <w:rsid w:val="009376CD"/>
    <w:rsid w:val="00940212"/>
    <w:rsid w:val="00942EC2"/>
    <w:rsid w:val="0095598A"/>
    <w:rsid w:val="00961B32"/>
    <w:rsid w:val="00962509"/>
    <w:rsid w:val="00970DB3"/>
    <w:rsid w:val="00974BB0"/>
    <w:rsid w:val="00975BCD"/>
    <w:rsid w:val="009A0AF3"/>
    <w:rsid w:val="009A0E3C"/>
    <w:rsid w:val="009B07CD"/>
    <w:rsid w:val="009C19E9"/>
    <w:rsid w:val="009C1BEB"/>
    <w:rsid w:val="009D3968"/>
    <w:rsid w:val="009D74A6"/>
    <w:rsid w:val="009E2D63"/>
    <w:rsid w:val="009E5B21"/>
    <w:rsid w:val="00A10F02"/>
    <w:rsid w:val="00A204CA"/>
    <w:rsid w:val="00A209D6"/>
    <w:rsid w:val="00A21E81"/>
    <w:rsid w:val="00A221FE"/>
    <w:rsid w:val="00A53724"/>
    <w:rsid w:val="00A54B2B"/>
    <w:rsid w:val="00A82346"/>
    <w:rsid w:val="00A9671C"/>
    <w:rsid w:val="00AA1553"/>
    <w:rsid w:val="00AE373E"/>
    <w:rsid w:val="00B00D05"/>
    <w:rsid w:val="00B05380"/>
    <w:rsid w:val="00B05962"/>
    <w:rsid w:val="00B15449"/>
    <w:rsid w:val="00B16C2F"/>
    <w:rsid w:val="00B27303"/>
    <w:rsid w:val="00B47FD1"/>
    <w:rsid w:val="00B516BB"/>
    <w:rsid w:val="00B72E34"/>
    <w:rsid w:val="00B84DB2"/>
    <w:rsid w:val="00BA31E5"/>
    <w:rsid w:val="00BC355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3141F"/>
    <w:rsid w:val="00E46C08"/>
    <w:rsid w:val="00E471CF"/>
    <w:rsid w:val="00E62835"/>
    <w:rsid w:val="00E77645"/>
    <w:rsid w:val="00E83697"/>
    <w:rsid w:val="00EA66C9"/>
    <w:rsid w:val="00EC4A25"/>
    <w:rsid w:val="00EF5D6D"/>
    <w:rsid w:val="00F025A2"/>
    <w:rsid w:val="00F036E9"/>
    <w:rsid w:val="00F07388"/>
    <w:rsid w:val="00F2026E"/>
    <w:rsid w:val="00F2210A"/>
    <w:rsid w:val="00F33728"/>
    <w:rsid w:val="00F3392B"/>
    <w:rsid w:val="00F37743"/>
    <w:rsid w:val="00F4336E"/>
    <w:rsid w:val="00F54A3D"/>
    <w:rsid w:val="00F54CB0"/>
    <w:rsid w:val="00F579CD"/>
    <w:rsid w:val="00F62B6C"/>
    <w:rsid w:val="00F653B8"/>
    <w:rsid w:val="00F71B89"/>
    <w:rsid w:val="00F7353C"/>
    <w:rsid w:val="00F76F8F"/>
    <w:rsid w:val="00F941DF"/>
    <w:rsid w:val="00FA1266"/>
    <w:rsid w:val="00FA206E"/>
    <w:rsid w:val="00FB36FA"/>
    <w:rsid w:val="00FC1192"/>
    <w:rsid w:val="00FE251B"/>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3E1E6D"/>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3E1E6D"/>
    <w:rPr>
      <w:rFonts w:ascii="Arial" w:eastAsia="Yu Gothic" w:hAnsi="Arial" w:cs="Calibri"/>
      <w:szCs w:val="22"/>
      <w:lang w:val="x-none" w:eastAsia="x-none"/>
    </w:rPr>
  </w:style>
  <w:style w:type="paragraph" w:styleId="ListParagraph">
    <w:name w:val="List Paragraph"/>
    <w:basedOn w:val="Normal"/>
    <w:uiPriority w:val="34"/>
    <w:qFormat/>
    <w:rsid w:val="003E1E6D"/>
    <w:pPr>
      <w:ind w:left="720"/>
      <w:contextualSpacing/>
    </w:pPr>
  </w:style>
  <w:style w:type="table" w:styleId="TableGrid">
    <w:name w:val="Table Grid"/>
    <w:basedOn w:val="TableNormal"/>
    <w:rsid w:val="003E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1B2E"/>
    <w:rPr>
      <w:sz w:val="16"/>
      <w:szCs w:val="16"/>
    </w:rPr>
  </w:style>
  <w:style w:type="paragraph" w:styleId="CommentText">
    <w:name w:val="annotation text"/>
    <w:basedOn w:val="Normal"/>
    <w:link w:val="CommentTextChar"/>
    <w:rsid w:val="004F1B2E"/>
  </w:style>
  <w:style w:type="character" w:customStyle="1" w:styleId="CommentTextChar">
    <w:name w:val="Comment Text Char"/>
    <w:basedOn w:val="DefaultParagraphFont"/>
    <w:link w:val="CommentText"/>
    <w:rsid w:val="004F1B2E"/>
    <w:rPr>
      <w:lang w:eastAsia="en-US"/>
    </w:rPr>
  </w:style>
  <w:style w:type="paragraph" w:styleId="CommentSubject">
    <w:name w:val="annotation subject"/>
    <w:basedOn w:val="CommentText"/>
    <w:next w:val="CommentText"/>
    <w:link w:val="CommentSubjectChar"/>
    <w:rsid w:val="004F1B2E"/>
    <w:rPr>
      <w:b/>
      <w:bCs/>
    </w:rPr>
  </w:style>
  <w:style w:type="character" w:customStyle="1" w:styleId="CommentSubjectChar">
    <w:name w:val="Comment Subject Char"/>
    <w:basedOn w:val="CommentTextChar"/>
    <w:link w:val="CommentSubject"/>
    <w:rsid w:val="004F1B2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74612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Props1.xml><?xml version="1.0" encoding="utf-8"?>
<ds:datastoreItem xmlns:ds="http://schemas.openxmlformats.org/officeDocument/2006/customXml" ds:itemID="{AA4BC6B2-F234-4289-A3FF-E1A375E8540A}">
  <ds:schemaRefs>
    <ds:schemaRef ds:uri="http://schemas.microsoft.com/sharepoint/events"/>
  </ds:schemaRefs>
</ds:datastoreItem>
</file>

<file path=customXml/itemProps2.xml><?xml version="1.0" encoding="utf-8"?>
<ds:datastoreItem xmlns:ds="http://schemas.openxmlformats.org/officeDocument/2006/customXml" ds:itemID="{202325BA-2608-466A-ACEC-E531DF727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1106</Words>
  <Characters>5433</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4</cp:revision>
  <dcterms:created xsi:type="dcterms:W3CDTF">2020-02-13T11:08:00Z</dcterms:created>
  <dcterms:modified xsi:type="dcterms:W3CDTF">2020-02-13T11:36:00Z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487ee150-6091-4fb7-8bba-355182d913e6</vt:lpwstr>
  </property>
</Properties>
</file>